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0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№ 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80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80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УТВЕРЖДЕНА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80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приказом министерства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80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жилищно-коммунального хозяйства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80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энергетики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8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09.04.2026 № 89-НПА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ДОКУМЕНТАЦИЯ О ПРОВЕДЕНИИ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№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2.8-2026-ПО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предмету предварительного отбора «Выполнение работ по оценке соответствия лифтов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требованиям технического регламента Таможенного союза 011/2011 «Безопасность лифтов» (ТР ТС 011/2011), утвержденного решением Комиссии Таможенного союза от 18 октября 2011 г. № 824 «О принятии технического регламента Таможенного союза «Безопасность лифтов»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г. Новосибирск, 2026 г.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</w:t>
      </w: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Орган по ведению реестра квалифицированных подрядных организаций (далее – Орган по ведению РКПО) – министерство жилищно-коммунального хозяйства и энергетики Новосибирской области.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</w:t>
        <w:tab/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7"/>
        <w:gridCol w:w="4117"/>
        <w:gridCol w:w="5097"/>
      </w:tblGrid>
      <w:tr>
        <w:tblPrEx/>
        <w:trPr>
          <w:trHeight w:val="887"/>
        </w:trPr>
        <w:tc>
          <w:tcPr>
            <w:shd w:val="clear" w:color="auto" w:fill="ffffff"/>
            <w:tcW w:w="697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9214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Информация о проведении предварительного отбора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gridSpan w:val="3"/>
            <w:shd w:val="clear" w:color="auto" w:fill="ffffff"/>
            <w:tcW w:w="9911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1. Сведения об органе по ведению РКПО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</w:p>
        </w:tc>
      </w:tr>
      <w:tr>
        <w:tblPrEx/>
        <w:trPr>
          <w:trHeight w:val="887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Министерство жилищно-коммунального хозяйства и энергетики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5406793110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mingkh@nso.ru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585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телефона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 (383) 238-76-46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Ф.И.О. контактного лица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Манске Инга Геннадьевна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887"/>
        </w:trPr>
        <w:tc>
          <w:tcPr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Предмет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Выполнение работ по оценке соответствия лифтов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требованиям технического регламента Таможенного союза 011/2011 «Безопасность лифтов» (ТР ТС 011/2011), утвержденного решением Комиссии Таможенного союза от 18 октября 2011 г. № 824 «О принятии технического регламента Таможенного союза «Безопасность лифтов»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2.8-2026-ПО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208"/>
        </w:trPr>
        <w:tc>
          <w:tcPr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Официальный сайт, на котором размещена документация о проведении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http://www.mjkh.nso.ru/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887"/>
        </w:trPr>
        <w:tc>
          <w:tcPr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сайта оператора электронной площадки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http://www.rts-tender.ru/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7"/>
        </w:trPr>
        <w:tc>
          <w:tcPr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Период действия результатов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89"/>
        </w:trPr>
        <w:tc>
          <w:tcPr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Дата и время начала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89"/>
        </w:trPr>
        <w:tc>
          <w:tcPr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Дата и время окончания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6"/>
        </w:trPr>
        <w:tc>
          <w:tcPr>
            <w:tcW w:w="697" w:type="dxa"/>
            <w:textDirection w:val="lrTb"/>
            <w:noWrap w:val="false"/>
          </w:tcPr>
          <w:p>
            <w:pPr>
              <w:pStyle w:val="680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680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Дата окончания рассмотрения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680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14 мая 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6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</w:r>
    </w:p>
    <w:p>
      <w:pPr>
        <w:pStyle w:val="6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оказанию услуг и (или) выполнению работ по капитальному ремонту общего имущества в многоквартирном доме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numPr>
          <w:ilvl w:val="0"/>
          <w:numId w:val="0"/>
        </w:numPr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7"/>
        <w:gridCol w:w="3213"/>
        <w:gridCol w:w="6285"/>
      </w:tblGrid>
      <w:tr>
        <w:tblPrEx/>
        <w:trPr>
          <w:trHeight w:val="458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0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680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680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4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680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оказанию услуг и (или) выполнению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vAlign w:val="center"/>
            <w:textDirection w:val="lrTb"/>
            <w:noWrap w:val="false"/>
          </w:tcPr>
          <w:p>
            <w:pPr>
              <w:pStyle w:val="680"/>
              <w:ind w:right="-1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работ по оценке соответствия лифтов требованиям технического регламента Таможенного союза 011/2011 «Безопасность лифтов» (ТР ТС 011/2011), утвержденного решением Комиссии Таможенного союза от 18 октябр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 2011 года № 824 «О принятии технического регламента Таможенного союза «Безопасность лифтов» (далее – оказание услуг и (или) выполнение работ) должно осуществляться в соответствии с действующими на территории Российской Федерации нормативными документами: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ind w:right="-1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Услуги и (или) работы должны удовлетворять требованиям строительных, экологических, санитарно-гигиенических, противопожарных и других норм, действующих на территории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ru-RU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680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к календарному плану оказания услуг и (или) выполнения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работ должно осуществляться в соответствии с прилагаемым к договору графиком оказания услуг и (или) выполнения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680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</w:r>
      <w:r>
        <w:rPr>
          <w:rFonts w:ascii="Times New Roman" w:hAnsi="Times New Roman" w:eastAsia="Calibri" w:cs="Times New Roman"/>
          <w:bCs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Сведения о существенных условиях договора строительного подряда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6"/>
        <w:gridCol w:w="2411"/>
        <w:gridCol w:w="7088"/>
      </w:tblGrid>
      <w:tr>
        <w:tblPrEx/>
        <w:trPr>
          <w:tblHeader/>
        </w:trPr>
        <w:tc>
          <w:tcPr>
            <w:shd w:val="clear" w:color="auto" w:fill="f2f2f2"/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2411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Условие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7088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Описание условия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2f2f2"/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2411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7088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Фонд модернизации и развития жилищно-коммунального хозяйства муниципальных образований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596"/>
        </w:trPr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 договора строительного подряда (далее – договор)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Arial"/>
                <w:sz w:val="24"/>
                <w:szCs w:val="24"/>
                <w:lang w:val="ru-RU" w:eastAsia="en-US" w:bidi="ar-SA"/>
              </w:rPr>
              <w:t xml:space="preserve">Предметом договора является выполнение работ по оценке соответствия лифтов тре</w:t>
            </w:r>
            <w:r>
              <w:rPr>
                <w:rFonts w:ascii="Times New Roman" w:hAnsi="Times New Roman" w:eastAsia="Calibri" w:cs="Arial"/>
                <w:sz w:val="24"/>
                <w:szCs w:val="24"/>
                <w:lang w:val="ru-RU" w:eastAsia="en-US" w:bidi="ar-SA"/>
              </w:rPr>
              <w:t xml:space="preserve">бованиям технического регламента Таможенного союза 011/2011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«Безопасность лифтов».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Arial"/>
                <w:sz w:val="24"/>
                <w:szCs w:val="24"/>
                <w:lang w:val="ru-RU" w:eastAsia="en-US" w:bidi="ar-SA"/>
              </w:rPr>
              <w:t xml:space="preserve">Выполнение работ будет осуществляться в отношении объектов, указанных в адресном перечне, размещенном на сайте в информационно-коммуникационной сети «Интернет» </w:t>
            </w:r>
            <w:hyperlink r:id="rId14" w:tooltip="http://www.mjkh.nso.ru/page/724." w:history="1">
              <w:r>
                <w:rPr>
                  <w:rStyle w:val="713"/>
                  <w:rFonts w:ascii="Times New Roman" w:hAnsi="Times New Roman" w:eastAsia="Calibri" w:cs="Arial"/>
                  <w:sz w:val="24"/>
                  <w:szCs w:val="24"/>
                  <w:lang w:val="ru-RU" w:eastAsia="en-US" w:bidi="ar-SA"/>
                </w:rPr>
                <w:t xml:space="preserve">http://www.mjkh.nso.ru/page/724.</w:t>
              </w:r>
            </w:hyperlink>
            <w:r>
              <w:rPr>
                <w:rFonts w:ascii="Times New Roman" w:hAnsi="Times New Roman" w:eastAsia="Calibri" w:cs="Arial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pacing w:val="-6"/>
                <w:sz w:val="24"/>
                <w:szCs w:val="24"/>
                <w:highlight w:val="white"/>
                <w:lang w:val="ru-RU" w:eastAsia="en-US" w:bidi="ar-SA"/>
              </w:rPr>
              <w:t xml:space="preserve">Указанные ориентировочные перечни могут быть скорректированы в соответствии с требованиями действующего жилищного законодательства.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101"/>
        </w:trPr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contextualSpacing/>
              <w:jc w:val="both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выполнения работ.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contextualSpacing/>
              <w:jc w:val="both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 может быть снижена по соглашению сторон при уменьшении предусмотренных Договором строительного подряда объемов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contextualSpacing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Изменение стоимости и объемов работ производится на основании решения общего собрания собственников помещений в многоквартирном доме при соблюдении положений, установленных частью 5 статьи 189 Жилищного кодекса Российской Федерации.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оплаты работ (услуг)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приемки выполненных работ (оказанных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Порядок и сроки приемки выполненных работ устанавливаются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Для проверки соответствия качества и объемов выполненных работ, установленных договором, Заказчик вправе привлекать независимых экспертов.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устанавливается Заказчиком в документации о проведении электронного аукциона в пределах Новосибирской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Обеспечение исполнения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Исполнение обязательств по договору обеспечивается: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независимой гарантией, выданной в соответствии с требованиями, предусмотренными </w:t>
            </w:r>
            <w:hyperlink r:id="rId15" w:tooltip="consultantplus://offline/ref=1A5ACDC7DDF8F0887A5F947293FE2CE5F6F787A58646A3FC26F6FA80EC4498F2B4F4B29DE25C6665B142ABBE2349634291F5A8A8AAE2S3H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частью 1 статьи 45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независимая гарантия);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обеспечительным платежом.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указанных в пункте 1 способов.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Размер обеспечения исполнения договора указывается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Размер обеспечения исполнения договора не может превышать 30 (тридцать) процентов начальной (максимальной) цены договора, указанной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 Обеспечение исполнения договора может быть установлено в размере, превышающем в 2 раза размер обеспечения его исполнения, указанный в документации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 проведении электронного аукциона, в случае, если при проведении электронного аукциона участником закупки, с которым заключается договор, предложена цена, которая на 20 и более процентов ниже начальной (максимальной) цены договора. Участник закупки также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обязан дополнительно представить Заказчику обоснован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ие предлагаемой цены договора 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 Независимая гарантия оформляется в письменной форме на бумажном носителе или в форме электронного документа, подписанного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усиленной квалифицированной электронной подписью лица, имеющего право действовать от имени организации, выдавшей независимую гарантию (далее - гарант), на условиях, определенных гражданским законодательством, и должна соответствовать следующим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быть безотзывной;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требован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(или) в случае расторжения договора;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срок действия независимой гарантии должен превышать срок оказания услуг и (или) выполнения работ по договору не менее чем на 60 дней.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7. Заказчик вправе не устанавливать требование обеспечения исполнения договора при условии банковского сопровождения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документации о проведении электронного аукциона Заказчиком могут быть установлены дополнительные требования к обеспечению исполнения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Гарантийный срок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ind w:left="34"/>
              <w:jc w:val="left"/>
              <w:spacing w:before="0" w:after="0" w:line="240" w:lineRule="auto"/>
              <w:widowControl w:val="off"/>
              <w:tabs>
                <w:tab w:val="left" w:pos="34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 Условия о гарантийном сроке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Срок предоставления гарантий на оказанные услуги и (или) выполненные работы не может быть менее 5 лет со дня подписания соответствующего акта о приемке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7"/>
        </w:trPr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Ответственность Заказчика и подрядной организации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сторон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за неисполнение или ненадлежащее исполнение обязательств по такому договору, определяются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заключения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Договор заключается 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аказчиком в соответствии с Гражданским кодексом Российской Федерации и 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оквартирных домах, подрядных организаций для оказания услуг и (или) выполнения работ по капитальному ремонту общего имуществ в многоквартирном доме, утвержденном постановлением Правительства Российской Федерации от 1 июля 2016 г. № 615 (далее – Положение).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80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Порядок заключения договора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93"/>
        </w:trPr>
        <w:tc>
          <w:tcPr>
            <w:tcW w:w="56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Другие существенные условия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1.Предмет договора, место проведения работ, сроки выполнения работ, продолжительность этапов выполнения работ, виды работ не могут изменяться в ходе его исполнения, за исключением случаев, предусмотренных Положением.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2.При исполнении договора о выполнении работ не допускается 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еремена подрядной организации, за исключением случаев, если новая подрядная организация является правопреемником подрядной организации по договору вследствие реорганизации юридического лица в порядке, предусмотренном законодательством Российской Федерации.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 Расторжение договора допускается: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а) по соглашению сторон;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б) по инициативе Заказчика, в том числе в виде одностороннего отказа от договора (основания такого расторжения устанавливаются в документации о проведении электронного аукциона);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в) по решению суда по основаниям, предусмотренным законодательством Российской Федерации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 Заказчик осуществляет расторжение договора в одностороннем порядке, в следующих случаях: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а) систематическое (2 раза и более) нарушение подрядной организацией сроков выполнения работ;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б) задержка подрядной организацией начала выполнения работ более чем на 10 (десять) календарных дней по причинам, не зависящим от заказчика или собственников помещений в многоквартирном доме;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в) неоднократное (2 раза и более в течение одного календарного месяца) несоблюдение (отступление от требов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аний, предусмотренных договором о выполнении работ, проектной документацией, стандартами, нормами и правилами, а также иными действующими нормативными правовыми актами) подрядной организацией требований к качеству работ и (или) технологии проведения работ;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 о проведении капитального ремонта;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д) нарушение подрядной организацией сроков оказания услуг и (или) выполнения работ продолжительностью более 30 (тридцати) календарных дней по любому из многоквартирных домов;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е) нарушение срока замены независимой гарантии, установленного договором, при отзыве лицензии, банкротстве или ликвидации гаранта более чем на 2 рабочих дня;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ж) выявление Заказчиком после заключени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я договора о выполнении работ факта недействительности представленной подрядной организацией независимой гарантии (представление поддельных документов, получение от гаранта опровержения выдачи независимой гарантии подрядной организации в письменной форме);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680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з) неисполнение обязательства о продлении срока независимой гарантии при измен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ении сроков оказания услуг и (или) выполнения работ в связи с изменением по соглашению сторон сроков оказания услуг и (или) выполнения работ либо при нарушении подрядной организацией предусмотренных договором сроков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680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участникам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проведении предварительного отбора по предмету последующего электронного аукциона «Выполнение работ по оценке соответствия лифтов требованиям технического регламента Таможенного союза 011/2011 «Безопаснос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ть лифтов» (ТР ТС 011/2011), утвержденного решением Комиссии Таможенного союза от 18 октября 2011 г. № 824 «О принятии технического регламента Таможенного союза «Безопасность лифтов» устанавливаются следующие требования к его участникам (далее – Участник):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наличие у Участника аттестата аккредитации, выданного федеральным органом исполнительной власти, осуществляющим функции по формированию единой национальной системы аккредитаци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и и осуществлению контроля за деятельностью аккредитованных лиц, с приложением, определяющим область аккредитации, которая позволяет выполнять работы, связанные с проверками, испытаниями, измерениями при проведении обследования лифтов в соответствии с треб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ованиями технического регламента Таможенного союза 011/2011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«Безопасность лифтов»;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отсутствие у Участника задолженности по уплате нал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огов, сборов и иных обязательных платежей в бюджеты бюджетной системы Российской Федерации за прошедший календарный год, за исключением случаев обжалования им задолженностей по обязательным платежам в бюджеты бюджетной системы Российской Федерации в соотве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тствии с законодательством Российской Федерации,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отсутствие у Участника за 3 года, предшествующие дате окончани</w:t>
      </w:r>
      <w:r>
        <w:rPr>
          <w:rFonts w:ascii="Times New Roman" w:hAnsi="Times New Roman" w:eastAsia="Calibri" w:cs="Times New Roman"/>
          <w:sz w:val="24"/>
          <w:szCs w:val="24"/>
        </w:rPr>
        <w:t xml:space="preserve">я срока подачи заявок на участие в предварительном отборе, контракта или договора, в том числе заключенного в соответствии с Положением, по строительству, реконструкции и (или) капитальному ремонту объектов капитального строительства, относящихся к той же </w:t>
      </w:r>
      <w:r>
        <w:rPr>
          <w:rFonts w:ascii="Times New Roman" w:hAnsi="Times New Roman" w:eastAsia="Calibri" w:cs="Times New Roman"/>
          <w:sz w:val="24"/>
          <w:szCs w:val="24"/>
        </w:rPr>
        <w:t xml:space="preserve">группе услуг и (или) работ, что и предмет предварительного отбора,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условий такого контракта или договора;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неприостановление деятельности Участника в порядке, предусмотренном Кодексом Российской Федерации об административных правонарушениях, на дату проведения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 отсутствие конфликта интересов, то есть случаев, при которых руководитель Заказчика, член комиссии по проведению предварительного отбора, комиссии по осуществлению закупок, должн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остное лицо Заказчика,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либо являются близкими родственниками (родственниками по прямой восходящей и нисходящей линии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выгодоприобретателями понимаются физические лица, вл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адеющие напрямую или косвенно (через юридическое лицо или через несколько юридических лиц) более чем 10 (десятью) процентами голосующих акций хозяйственного общества либо долей, превышающей 10 (десять) процентов в уставном капитале хозяйственного общества;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неприменение в отношении Участника – физического лица либо руководителя, членов коллеги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ального исполнительного органа или главного бухгалтера Участника –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отсутствие сведений об Участнике в реестре недобросовестных поставщиков (подрядчиков, исполнителей), 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отсутствие сведений об Участнике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разделом VII Положения;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невозможность для Участника являться юридическим лицом, местом регистрации которого является государство или территория, включенные в утверждаемый в соответствии с подпунктом 1 пункта 3 статьи 284 Налог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л) наличие в штате участника предварительного отбора работников, соответст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вующих установленным пунктом 1 части 6 статьи 55.5 Градостроительного кодекса Российской Федерации квалификационным требованиям, в количестве не ниже количества, установленного пунктом 2 части 6 статьи 55.5 Градостроительного кодекса Российской Федерации; 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м) наличие у Участника за 3 года, предшествующие</w:t>
      </w:r>
      <w:r>
        <w:rPr>
          <w:rFonts w:ascii="Times New Roman" w:hAnsi="Times New Roman" w:eastAsia="Calibri" w:cs="Times New Roman"/>
          <w:sz w:val="24"/>
          <w:szCs w:val="24"/>
        </w:rPr>
        <w:t xml:space="preserve">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менее чем по 3 исполненным контрактам и (или) договорам, предметом которых </w:t>
      </w:r>
      <w:r>
        <w:rPr>
          <w:rFonts w:ascii="Times New Roman" w:hAnsi="Times New Roman" w:eastAsia="Calibri" w:cs="Times New Roman"/>
          <w:sz w:val="24"/>
          <w:szCs w:val="24"/>
        </w:rPr>
        <w:t xml:space="preserve">являлись строительство, реконструкция, капитальный ремонт зданий, являющихся объектами капитального строительства, ремонт (замена) лифтового оборудования, разработка проектной документации, в том числе по договорам, заключенным в соответствии с Положением.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680"/>
        <w:ind w:firstLine="709"/>
        <w:jc w:val="both"/>
        <w:spacing w:before="0" w:after="0" w:line="240" w:lineRule="auto"/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н) отсутствие в отношении участника предварительного отбора решения об исключении подрядной организации из реестра квалифицированны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х подрядных организаций в случае установления одного из фактов, указанных в подпунктах "з" - "к" пункта 66 настоящего Положения, в течение года до даты рассмотрения заявок на участие в предварительном отборе комиссией по проведению предварительного отбора.</w:t>
      </w:r>
      <w:r/>
    </w:p>
    <w:p>
      <w:pPr>
        <w:pStyle w:val="680"/>
        <w:ind w:firstLine="0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содержанию, форме и составу заявки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 Участник должен подготовить Заявку по форме Приложения № 1 к Документации о проведении предварительного отбора, которая должна содержать полное наименование, сведения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гана участника предварительного отбора, - для юридического лица, или фамилию,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 Участник должен подписать Заявку усиленной квалифицированной электронной подписью.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 В состав Заявки включаются следующие документы: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выписка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Заявки,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выписка из Единого государственного реестра инд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Заявки, – для физического лица, зарегистрированного в качестве индивидуального предпринимателя;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копии учредительных документов Участника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копия засвидетельствованного в нотариальном порядке перевода на русский язык документо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Заявки, – для иностранных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документ, подтверждающий полномочия лица на осуществление действий от имени Участника;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копия аттестата аккредитации, выданного федеральным органом исполнительной власти, осуществляющим функции по формированию единой национальной системы аккредитации и осуществлению контроля за дея</w:t>
      </w:r>
      <w:r>
        <w:rPr>
          <w:rFonts w:ascii="Times New Roman" w:hAnsi="Times New Roman" w:eastAsia="Calibri" w:cs="Times New Roman"/>
          <w:sz w:val="24"/>
          <w:szCs w:val="24"/>
        </w:rPr>
        <w:t xml:space="preserve">тельностью аккредитованных лиц, с приложением, определяющим область аккредитации, которая позволяет выполнять работы, связанные с проверками, испытаниями, измерениями при проведении обследования лифтов в соответствии с требованиями технического регламента;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 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копия расчета по страховым взносам, представляемого плательщиками страховых взносов, составленного за последний отчетный период, предшествующий дате подачи заяв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копия штатного расписания;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копии трудовых книжек и (или) сведения о трудовой деяте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льности, предусмотренные статьей 66.1 Трудового кодекса Российской Федерации, копии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копии не менее 3 исполненных контрактов и (или) договоров, подтверждающих наличие у Участника предусмотренного подпунктом «п»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пункта 23 Положения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Обобщенные сведения о наличии контрактов и (или) договоров и их выполнении рекомендуется представить по форме, установленной в Приложении № 2 к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л) согласие на обработку персональных данных в соответствии с Федеральным законом "О персональных данных" каждого работника, персональные данные которого содержатся в заявке на участие в предварительном отборе (</w:t>
      </w:r>
      <w:r>
        <w:rPr>
          <w:rFonts w:ascii="Times New Roman" w:hAnsi="Times New Roman" w:eastAsia="Calibri" w:cs="Times New Roman"/>
          <w:sz w:val="24"/>
          <w:szCs w:val="24"/>
        </w:rPr>
        <w:t xml:space="preserve">рекомендуется представить по форме, установленной в Приложении № 3 к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680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подачи заявок 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подачи Заявки Участник должен зарегистрироваться на сайте оператора электронной площадки в соответствии с регламентом работы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Регистрация на электронной площадке, а также участие в предварительном отборе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 Заявка, а также все сведения и документы, которые входят в ее состав, подаются Участником через оператора электронной площадки в виде электронного документа в соответствии с правилами, установленными оператором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 вправе подать только одну Заявку, пока она не рассмотрена в порядке, предусмотренном Документацией о проведении предварительного отбора, и по ней не принято решение об отказе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Участник, подавший Заявку, вправе ее изменить.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Внесение изменений в Заявку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должны быть подписаны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 В случае установления факта подачи одним Участником 2 (двух) и более Заявок при условии, что поданные ранее Заявки не отозваны, все Заявки такого Участника не рассматриваются.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 Заявка подается Участником не ранее даты, указанной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Заявки, поданные ранее даты и времени, указанные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отбора, не принимаются оператором электронной площадки и возвращаются Участнику.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 Каждая Заявка, поступившая в установленные сроки, регистрируется оператором электронной площадки, с присвоением порядкового номера.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12. Установленные дата и время окончания срока подачи Заявок могут быть продлены Органом по ведению РКПО в случаях, предусмотренных нормами действующего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680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и срок отзыва заявок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Участник, подавший Заявку, вправе ее отозвать.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Заявка может быть отозвана до даты и времени окончания срока подачи Заявок, указанных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Отзыв Заявки осуществляется через сайт оператора электронной площадки,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Уведомление об отзыве Заявки должно быть подписано усиленной квалифицированной электронной подписью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680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Форма, порядок, и сроки предоставления участникам предварительного отбора разъяснений положений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142"/>
        <w:jc w:val="center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Любое заинтересованное лицо вправе направить в орган по ведению РКПО запрос о разъяснении Документации о проведении предварительного отбора (далее – Запрос).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left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Запросы принимаются до 23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апреля 2026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В случае, если Запрос поступил в сроки, указанные в пункте 3 настоящего раздела, Орган по ведени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РКПО в течение 3 (трех)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лица, от которого поступил Запрос.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В случае если Запрос поступил позднее даты, указанной в пункте 3 настоящего раздела, данный Запрос не рассматривается Органом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Запрос должен быть подписан, усиленной квалифицированной электронной подписью лица, направившего Запрос.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680"/>
        <w:ind w:left="360"/>
        <w:jc w:val="center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IX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рассмотрения заявок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numPr>
          <w:ilvl w:val="0"/>
          <w:numId w:val="4"/>
        </w:numPr>
        <w:ind w:left="142" w:hanging="360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Поступившие от Участников Заявки рассматриваются комиссией по проведению предварительного отбора (далее – Комиссия).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Комиссия, ее персональный состав, а также порядок ее работы утверждаются Органом по ведению РКПО до начала проведения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Комиссии, порядке ее деятельности, а также о дате, месте и времени рассмотрения Заявок Участников размещена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Участие в предварительном отборе и заседаниях Комиссии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Протоколы Комиссии, составленные в ходе рассмотрения Заявок, хранятся Органом по ведению РКПО не менее 3 (трех)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Членами Комиссии не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заинтересованные лица либо лица, на которых способны оказать влияние Участники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предварительного отбора, либ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физические лица, состоящие в браке с руководителем участника предварительного отбора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нородными (имеющими общих отца или мать) братьями и сестрами), усыновителями руководителя участника предварительного отбора или усыновленными им). В случае выявления в составе Комиссии указанных лиц Участник должен сообщить об этом Органу по ведению РКПО.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Включение в реестр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квалифицированных подрядных организаций информации об Участнике, исключение из него информации об Участнике, а также содержащаяся в реестре квалифицированных подрядных организаций информация могут быть обжалованы заинтересованным лицом в судебном порядке.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numPr>
          <w:ilvl w:val="0"/>
          <w:numId w:val="2"/>
        </w:numPr>
        <w:contextualSpacing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Порядок рассмотрения Заявок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contextualSpacing/>
        <w:ind w:left="319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дате, времени и месте рассмотрения Комиссий Заявки направляется подавшему ее Участнику через сайт оператора электронной площадки, а также размещается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Любой Участник и (или) его представитель вправе участвовать в заседаниях Комиссии и осуществлять аудио- и (или) видеозаписи заседания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проведении предварительного отбора какие-либо переговоры о таком отборе между членами Комиссии и Участниками не допускаются. В случае нарушения указанного запрета проведение предварительного отбора может быть признано недействительным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 рассматривает Заявки и Участников на их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результатов рассмотрения Заявок Комиссия принимает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 включение Участника в реестр квалифицированных подрядных организаций;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отказ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 Комиссии об отказе во включении Участника в реестр квалифицированных подрядных организаций принимается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Участника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Заявки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установление факта представления Участником недостоверной информации (сведений, документов) в составе Заявки.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2.8.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Невключение в реестр квалифицированных подрядных организаций по иным основаниям, кроме случаев, указанных в пункте 2.7 настоящего Порядка, не допускается.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2.9.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 по ведению РКПО в течение 2 (двух) рабочих дней с даты принятия решения, указанного в подпункте «а» пункта 2.6 настоящего раздела, включает информацию об Участнике в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Принятие решения о признании предварительного отбора несостоявшимся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Предварительный отбор признается Комиссией несостоявшимся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установленных в Извещении даты и времени окончания срока подачи Заявок подана единственная Заявка или не подано ни одной Заявки;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принятия Комиссией решения о невключении в реестр квалифицированных подрядных организаций всех Участников, подавших Заявки до указанных в Извещении даты и времени окончания срока подачи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признания предварительного отбора несостоявшимся Орган по ведению РКПО принимает решение об объявлении процедуры предварительного отбора повторно.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формация о принятом решении, указанном в пункте 3.1 и 3.2 настоящего раздела, размещается Органом по ведению РКПО на официальном сайте и сайте оператора электронной площадки, в течение 2 рабочих дней со дня признания предварительного отбора несостоявшимся.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предварительный отбор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ризнан несостоявшимся в связи с подачей единственной Заявки и Участник, подавший такую Заявку, соответствует требованиям, установленным в Документации о проведении предварительного отбора, то он включается в реестр квалифицированных подрядных организаций.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Протокол заседания Комиссии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рассмотрения Заявок и принимаемые Комиссией решения, оформляются протоколом Комиссии, который подписывается всеми членами Комиссии, участвующими в заседании.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 оформляется и размещается Органом по ведению РКПО на официальном сайте и сайте оператора электронной площадки в течение 2 (двух) рабочих дней со дня его подписания.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протоколе указывается информация о месте, дате и времени рассмотрения заявок на участие в предварительном отборе, номер предварительного отбора, наименование (для юридического лица), адрес электр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онной площадки в сети «Интернет», на которой проводится предварительный отбор, фамилия, имя, отчество (при наличии) (для физического лица, зарегистрированного в качестве индивидуального предпринимателя), адрес юридического лица и электронный адрес, идентиф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икационный номер налогоплательщика каждого участника предварительного отбора, наличие информации и документов, предусмотренных документацией о проведении предварительного отбора, состав членов комиссии, участвующих в рассмотрении заявок, принятые решения.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4.4. При принятии комиссией по предварительному отбору решения об отказе во включении участника предварительного отбора в реестр квалифицированных подрядных организаций в протоколе указывается обоснование такого решени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со ссылками на нормы Положения, которым не соответствует участник предварительного отбора, на положения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 включении Участника в реестр квалифицированных подрядных организаций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протоколе указывается предельный размер обязательств участника предварительного отбора по обязательствам по договорам подряда на подготовку проектной документации, по договорам строительного подряда, заключаемым с использованием конкурентны</w:t>
      </w:r>
      <w:r>
        <w:rPr>
          <w:rFonts w:ascii="Times New Roman" w:hAnsi="Times New Roman" w:eastAsia="Calibri" w:cs="Times New Roman"/>
          <w:sz w:val="24"/>
          <w:szCs w:val="24"/>
        </w:rPr>
        <w:t xml:space="preserve">х способов заключения договоров, в соответствии с которым такой участник предварительного отбора, как член соответствующей саморегулируемой организации, внес взнос в компенсационный фонд обеспечения договорных обязательств, сформированный в соответствии с </w:t>
      </w:r>
      <w:hyperlink r:id="rId16" w:tooltip="consultantplus://offline/ref=A2283303C7D254AD7348380E740FF25A10E2ED22CEB7A37225481EC656EC239C45C4E1787FF2A849uEg7B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частью 2 статьи 55.16</w:t>
        </w:r>
      </w:hyperlink>
      <w:r>
        <w:rPr>
          <w:rFonts w:ascii="Times New Roman" w:hAnsi="Times New Roman" w:eastAsia="Calibri" w:cs="Times New Roman"/>
          <w:sz w:val="24"/>
          <w:szCs w:val="24"/>
        </w:rPr>
        <w:t xml:space="preserve">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0"/>
        <w:jc w:val="lef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0"/>
        <w:jc w:val="lef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ЗАЯВКИ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ИЗВЕЩЕНИЮ № ___ ОТ __________________*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680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4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«</w:t>
        <w:tab/>
        <w:t xml:space="preserve">      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 2__ года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Изучив условия Извещения о проведении предварительного отбора подрядных организаций № __________ от __________, и принимая установленные в нём требования и условия,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(указывается полное наименование, организационно правовая форма участника предварительного отбора или ФИО индивидуального предпринимателя)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 лице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(указывается фамилия, имя, отчество (при наличии) представителя участника предварительного отбора – юридического лица)    действующего на основании (указывается документ, на основании которого действует представитель юридического лица или физического лица)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просит рассмотреть заявку на участие в предварительном отборе подрядных организаций по предмету отбора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                    (указывается предмет предварительного отбора) .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Документация о проведении предварительного отбора изучена в полном объеме и признана полной и достаточной для подготовки настоящей Заявки.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право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(указывается наименование органа по ведению реестра квалифицированных подрядных организаций)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70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Сообщаем о себе следующее: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Полное наименование организации и сведения об организационно-правовой форме (или Фамилия Имя Отчество (при наличии отчества) для индивидуального предпринимателя): 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юридического лица (или адрес места жительства – для индивидуального предпринимателя):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для почтовых отправлений: 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Телефон:_________________________________________________________________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электронной почты: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Учредители - полное наименование юридического лица и его организационно правовая форма (или ФИО для учредителя – физического лица)/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членов коллегиального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единоличного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лиц, уполномоченных действовать от имени участника предварительного отбора: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подтверждает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850"/>
        <w:jc w:val="both"/>
        <w:spacing w:before="0" w:after="0" w:line="240" w:lineRule="auto"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Приложения: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  <w:lang w:val="en-US"/>
        </w:rPr>
        <w:t xml:space="preserve">V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Документации).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418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680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КОНТРАКТОВ И (ИЛИ) ДОГОВОРОВ, ПОДТВЕРЖДАЮЩИХ НАЛИЧИЕ У УЧАСТНИКА ПРЕДВАРИТЕЛЬНОГО ОТБОРА ОПЫТА ВЫПОЛНЕНИЯ РАБОТ, АНАЛОГИЧНЫХ ПРЕДМЕТУ ПРЕДВАРИТЕЛЬНОГО ОТБОРА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680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56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1"/>
        <w:gridCol w:w="1849"/>
        <w:gridCol w:w="1955"/>
        <w:gridCol w:w="1956"/>
        <w:gridCol w:w="2826"/>
        <w:gridCol w:w="2593"/>
        <w:gridCol w:w="2786"/>
      </w:tblGrid>
      <w:tr>
        <w:tblPrEx/>
        <w:trPr>
          <w:trHeight w:val="2632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заключения и номер контракта и (или)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Установленный срок выполнения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Первоначальная стоимость работ,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и номер актов приемки выполненных работ по контракту и (или) договору или иных документов, подтверждающих приемку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Окончательная стоимость работ (согласно актам приемки выполненных работ),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Наличие подтверждения приемки заказчиком работ по контракту и (или) договору, выполненных в полном объеме (наличие/отсутствие подписи заказчика о приемке)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680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68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680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0"/>
          <w:headerReference w:type="first" r:id="rId11"/>
          <w:footnotePr/>
          <w:endnotePr/>
          <w:type w:val="nextPage"/>
          <w:pgSz w:w="16838" w:h="11906" w:orient="landscape"/>
          <w:pgMar w:top="1418" w:right="1134" w:bottom="567" w:left="1134" w:header="0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680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СОГЛАСИЕ НА ОБРАБОТКУ ПЕРСОНАЛЬНЫХ ДАННЫХ В СООТВЕТСТВИИ С ФЕДЕРАЛЬНЫМ ЗАКОНОМ «О ПЕРСОНАЛЬНЫХ ДАННЫХ» </w:t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68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6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</w:t>
      </w:r>
      <w:r>
        <w:rPr>
          <w:rFonts w:ascii="Times New Roman" w:hAnsi="Times New Roman" w:cs="Times New Roman"/>
        </w:rPr>
      </w:r>
    </w:p>
    <w:p>
      <w:pPr>
        <w:pStyle w:val="68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68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Я, субъект персональных данных: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pStyle w:val="6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(Ф.И.О. полностью)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68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основной документ, удостоверяющий личность:_____________________________</w:t>
      </w:r>
      <w:r>
        <w:rPr>
          <w:rFonts w:ascii="Times New Roman" w:hAnsi="Times New Roman" w:cs="Times New Roman"/>
        </w:rPr>
      </w:r>
    </w:p>
    <w:p>
      <w:pPr>
        <w:pStyle w:val="6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наименование, серия, номер, дата выдачи, выдавший орган, код подразделения)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68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зарегистрированного(-ой) по адресу: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со ст. 9 Федерального закона от 27.07.2006 № 152-ФЗ «О персональных данных» даю конкретное, предметное</w:t>
      </w:r>
      <w:r>
        <w:rPr>
          <w:rFonts w:ascii="Times New Roman" w:hAnsi="Times New Roman" w:eastAsia="Times New Roman" w:cs="Times New Roman"/>
        </w:rPr>
        <w:t xml:space="preserve">, информированное, сознательное и однозначное согласие на обработку своих персональных данных, указанных в любой из частей заявки на участие в предварительном отборе на право включения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6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(наименование участника предварительного отбора и ИНН)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реестр квалифицированных подрядных организаций, имеющих право принимать участие в электронных аукционах, предметом которых является оказание услуг и (или) выполнени</w:t>
      </w:r>
      <w:r>
        <w:rPr>
          <w:rFonts w:ascii="Times New Roman" w:hAnsi="Times New Roman" w:eastAsia="Times New Roman" w:cs="Times New Roman"/>
        </w:rPr>
        <w:t xml:space="preserve">е работ по капитальному ремонту общего имущества многоквартирных домов (указать номер предварительного отбора) органу, уполномоченному на ведение реестра квалифицированных подрядных организаций (далее - РКПО), в соответствии с постановлением Правительства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Новосибирской области от 24.08.2016 № 242-п</w:t>
      </w:r>
      <w:r>
        <w:rPr>
          <w:rFonts w:ascii="Times New Roman" w:hAnsi="Times New Roman" w:eastAsia="Times New Roman" w:cs="Times New Roman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 (ИНН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5406793110</w:t>
      </w:r>
      <w:r>
        <w:rPr>
          <w:rFonts w:ascii="Times New Roman" w:hAnsi="Times New Roman" w:eastAsia="Times New Roman" w:cs="Times New Roman"/>
        </w:rPr>
        <w:t xml:space="preserve">, далее - оператор), находящемуся по адресу: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630091, г. Новосибирск, ул. Фрунзе, 5, оф. 639</w:t>
      </w:r>
      <w:r>
        <w:rPr>
          <w:rFonts w:ascii="Times New Roman" w:hAnsi="Times New Roman" w:eastAsia="Times New Roman" w:cs="Times New Roman"/>
        </w:rPr>
        <w:t xml:space="preserve">, с целью исполнения требований п. 25 и пп. в) п. 38 Положения, утвержденного постановлением Правительства Российской Федерации от 01.07.2016 № 615 «О порядке привлечения подря</w:t>
      </w:r>
      <w:r>
        <w:rPr>
          <w:rFonts w:ascii="Times New Roman" w:hAnsi="Times New Roman" w:eastAsia="Times New Roman" w:cs="Times New Roman"/>
        </w:rPr>
        <w:t xml:space="preserve">дных организаций для оказания услуг и (или) выполнения работ по капитальному ремонту общего имущества в многоквартирном доме, порядке осуществления закупок товаров, работ, услуг в целях выполнения функций специализированной некоммерческой организации, осущ</w:t>
      </w:r>
      <w:r>
        <w:rPr>
          <w:rFonts w:ascii="Times New Roman" w:hAnsi="Times New Roman" w:eastAsia="Times New Roman" w:cs="Times New Roman"/>
        </w:rPr>
        <w:t xml:space="preserve">ествляющей деятельность, направленную на обеспечение проведения капитального ремонта общего имущества в многоквартирных домах, о порядке осуществления специализированной некоммерческой организацией, осуществляющей деятельность, направленную на обеспечение </w:t>
      </w:r>
      <w:r>
        <w:rPr>
          <w:rFonts w:ascii="Times New Roman" w:hAnsi="Times New Roman" w:eastAsia="Times New Roman" w:cs="Times New Roman"/>
        </w:rPr>
        <w:t xml:space="preserve">проведения капитального ремонта общего имущества в многоквартирных домах, 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</w:t>
      </w:r>
      <w:r>
        <w:rPr>
          <w:rFonts w:ascii="Times New Roman" w:hAnsi="Times New Roman" w:eastAsia="Times New Roman" w:cs="Times New Roman"/>
        </w:rPr>
        <w:t xml:space="preserve">щества в многоквартирном доме, и реализации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оборудования)» (далее - Положение). </w:t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Перечень моих персональных данных, на обработку которых я даю согласие: фамилия, имя, отчество (при наличии), дата рождения, номер основног</w:t>
      </w:r>
      <w:r>
        <w:rPr>
          <w:rFonts w:ascii="Times New Roman" w:hAnsi="Times New Roman" w:eastAsia="Times New Roman" w:cs="Times New Roman"/>
        </w:rPr>
        <w:t xml:space="preserve">о документа, удостоверяющего личность, страховой номер индивидуального лицевого счета, данные об образовании (диплом), данные подтверждающих соответствие уровня квалификации (сертификаты, аттестаты и удостоверения), а также данные о трудовой деятельности. </w:t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Разрешаю оператору производить автоматизированную, а также осуществляемую без использования средств автома</w:t>
      </w:r>
      <w:r>
        <w:rPr>
          <w:rFonts w:ascii="Times New Roman" w:hAnsi="Times New Roman" w:eastAsia="Times New Roman" w:cs="Times New Roman"/>
        </w:rPr>
        <w:t xml:space="preserve">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Согласие вступает в силу со дня его подписания и действуют в случае: </w:t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включения участника предварительного отбора (наименование участника предварительного отбора и ИНН) в РКПО по день исключения подрядной организации из РКПО на основании п. 66 Положения; </w:t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не включения в РКПО в течение срока, предусмотренного для обжалования решения Комиссии по предварительному отбору, установленного законодательством Российской Федерации. </w:t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данных: </w:t>
      </w:r>
      <w:r>
        <w:rPr>
          <w:rFonts w:ascii="Times New Roman" w:hAnsi="Times New Roman" w:cs="Times New Roman"/>
          <w:highlight w:val="none"/>
        </w:rPr>
      </w:r>
    </w:p>
    <w:p>
      <w:pPr>
        <w:pStyle w:val="68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«           »          20     г. </w:t>
      </w:r>
      <w:r>
        <w:rPr>
          <w:rFonts w:ascii="Times New Roman" w:hAnsi="Times New Roman" w:cs="Times New Roman"/>
          <w:highlight w:val="none"/>
        </w:rPr>
      </w:r>
    </w:p>
    <w:p>
      <w:pPr>
        <w:pStyle w:val="680"/>
        <w:ind w:left="0" w:righ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80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cs="Times New Roman"/>
          <w:highlight w:val="none"/>
        </w:rPr>
      </w:r>
    </w:p>
    <w:p>
      <w:pPr>
        <w:pStyle w:val="680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(подпись)                           (Ф.И.О. с расшифровкой)                          (дата подписания согласия) </w:t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pStyle w:val="680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680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680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680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Согласие на обработку персональных данных заполняется собственноручно синей ручкой</w:t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680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0"/>
      </w:pPr>
      <w:r/>
      <w:r/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680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sectPr>
      <w:headerReference w:type="default" r:id="rId12"/>
      <w:footnotePr/>
      <w:endnotePr/>
      <w:type w:val="nextPage"/>
      <w:pgSz w:w="11906" w:h="16838" w:orient="portrait"/>
      <w:pgMar w:top="1134" w:right="567" w:bottom="1134" w:left="1418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Sans Serif">
    <w:panose1 w:val="02000603000000000000"/>
  </w:font>
  <w:font w:name="Times New Roman">
    <w:panose1 w:val="02020603050405020304"/>
  </w:font>
  <w:font w:name="Microsoft YaHei">
    <w:panose1 w:val="020B0503020203020204"/>
  </w:font>
  <w:font w:name="Mangal">
    <w:panose1 w:val="02040503050406030204"/>
  </w:font>
  <w:font w:name="Liberation Sans">
    <w:panose1 w:val="020B060402020202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2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16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76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2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19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76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92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4056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60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64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68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72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76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52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80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1">
    <w:name w:val="Heading 1"/>
    <w:basedOn w:val="68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8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3">
    <w:name w:val="Heading 3"/>
    <w:basedOn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4">
    <w:name w:val="Heading 4"/>
    <w:basedOn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5">
    <w:name w:val="Heading 5"/>
    <w:basedOn w:val="6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6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1 Char"/>
    <w:basedOn w:val="712"/>
    <w:uiPriority w:val="9"/>
    <w:qFormat/>
    <w:rPr>
      <w:rFonts w:ascii="Arial" w:hAnsi="Arial" w:eastAsia="Arial" w:cs="Arial"/>
      <w:sz w:val="40"/>
      <w:szCs w:val="40"/>
    </w:rPr>
  </w:style>
  <w:style w:type="character" w:styleId="691">
    <w:name w:val="Heading 2 Char"/>
    <w:basedOn w:val="712"/>
    <w:uiPriority w:val="9"/>
    <w:qFormat/>
    <w:rPr>
      <w:rFonts w:ascii="Arial" w:hAnsi="Arial" w:eastAsia="Arial" w:cs="Arial"/>
      <w:sz w:val="34"/>
    </w:rPr>
  </w:style>
  <w:style w:type="character" w:styleId="692">
    <w:name w:val="Heading 3 Char"/>
    <w:basedOn w:val="712"/>
    <w:uiPriority w:val="9"/>
    <w:qFormat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71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71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71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71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8 Char"/>
    <w:basedOn w:val="71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8">
    <w:name w:val="Heading 9 Char"/>
    <w:basedOn w:val="71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9">
    <w:name w:val="Title Char"/>
    <w:basedOn w:val="712"/>
    <w:uiPriority w:val="10"/>
    <w:qFormat/>
    <w:rPr>
      <w:sz w:val="48"/>
      <w:szCs w:val="48"/>
    </w:rPr>
  </w:style>
  <w:style w:type="character" w:styleId="700">
    <w:name w:val="Subtitle Char"/>
    <w:basedOn w:val="712"/>
    <w:uiPriority w:val="11"/>
    <w:qFormat/>
    <w:rPr>
      <w:sz w:val="24"/>
      <w:szCs w:val="24"/>
    </w:rPr>
  </w:style>
  <w:style w:type="character" w:styleId="701">
    <w:name w:val="Quote Char"/>
    <w:uiPriority w:val="29"/>
    <w:qFormat/>
    <w:rPr>
      <w:i/>
    </w:rPr>
  </w:style>
  <w:style w:type="character" w:styleId="702">
    <w:name w:val="Intense Quote Char"/>
    <w:uiPriority w:val="30"/>
    <w:qFormat/>
    <w:rPr>
      <w:i/>
    </w:rPr>
  </w:style>
  <w:style w:type="character" w:styleId="703">
    <w:name w:val="Header Char"/>
    <w:basedOn w:val="712"/>
    <w:uiPriority w:val="99"/>
    <w:qFormat/>
  </w:style>
  <w:style w:type="character" w:styleId="704">
    <w:name w:val="Footer Char"/>
    <w:basedOn w:val="712"/>
    <w:uiPriority w:val="99"/>
    <w:qFormat/>
  </w:style>
  <w:style w:type="character" w:styleId="705">
    <w:name w:val="Caption Char"/>
    <w:uiPriority w:val="99"/>
    <w:qFormat/>
  </w:style>
  <w:style w:type="character" w:styleId="706">
    <w:name w:val="Footnote Text Char"/>
    <w:uiPriority w:val="99"/>
    <w:qFormat/>
    <w:rPr>
      <w:sz w:val="18"/>
    </w:rPr>
  </w:style>
  <w:style w:type="character" w:styleId="707">
    <w:name w:val="Footnote Characters"/>
    <w:uiPriority w:val="99"/>
    <w:unhideWhenUsed/>
    <w:qFormat/>
    <w:rPr>
      <w:vertAlign w:val="superscript"/>
    </w:rPr>
  </w:style>
  <w:style w:type="character" w:styleId="708">
    <w:name w:val="footnote reference"/>
    <w:rPr>
      <w:vertAlign w:val="superscript"/>
    </w:rPr>
  </w:style>
  <w:style w:type="character" w:styleId="709">
    <w:name w:val="Endnote Text Char"/>
    <w:uiPriority w:val="99"/>
    <w:qFormat/>
    <w:rPr>
      <w:sz w:val="20"/>
    </w:rPr>
  </w:style>
  <w:style w:type="character" w:styleId="710">
    <w:name w:val="Endnote Characters"/>
    <w:uiPriority w:val="99"/>
    <w:semiHidden/>
    <w:unhideWhenUsed/>
    <w:qFormat/>
    <w:rPr>
      <w:vertAlign w:val="superscript"/>
    </w:rPr>
  </w:style>
  <w:style w:type="character" w:styleId="711">
    <w:name w:val="endnote reference"/>
    <w:rPr>
      <w:vertAlign w:val="superscript"/>
    </w:rPr>
  </w:style>
  <w:style w:type="character" w:styleId="712" w:default="1">
    <w:name w:val="Default Paragraph Font"/>
    <w:uiPriority w:val="1"/>
    <w:semiHidden/>
    <w:unhideWhenUsed/>
    <w:qFormat/>
  </w:style>
  <w:style w:type="character" w:styleId="713">
    <w:name w:val="Hyperlink"/>
    <w:basedOn w:val="712"/>
    <w:uiPriority w:val="99"/>
    <w:unhideWhenUsed/>
    <w:rPr>
      <w:color w:val="0563c1" w:themeColor="hyperlink"/>
      <w:u w:val="single"/>
    </w:rPr>
  </w:style>
  <w:style w:type="character" w:styleId="714" w:customStyle="1">
    <w:name w:val="Гипертекстовая ссылка"/>
    <w:basedOn w:val="712"/>
    <w:uiPriority w:val="99"/>
    <w:qFormat/>
    <w:rPr>
      <w:b/>
      <w:bCs/>
      <w:color w:val="106bbe"/>
    </w:rPr>
  </w:style>
  <w:style w:type="character" w:styleId="715">
    <w:name w:val="FollowedHyperlink"/>
    <w:basedOn w:val="712"/>
    <w:uiPriority w:val="99"/>
    <w:semiHidden/>
    <w:unhideWhenUsed/>
    <w:rPr>
      <w:color w:val="800080"/>
      <w:u w:val="single"/>
    </w:rPr>
  </w:style>
  <w:style w:type="character" w:styleId="716" w:customStyle="1">
    <w:name w:val="Верхний колонтитул Знак"/>
    <w:basedOn w:val="712"/>
    <w:uiPriority w:val="99"/>
    <w:qFormat/>
  </w:style>
  <w:style w:type="character" w:styleId="717" w:customStyle="1">
    <w:name w:val="Нижний колонтитул Знак"/>
    <w:basedOn w:val="712"/>
    <w:uiPriority w:val="99"/>
    <w:qFormat/>
  </w:style>
  <w:style w:type="character" w:styleId="718" w:customStyle="1">
    <w:name w:val="Текст выноски Знак"/>
    <w:basedOn w:val="712"/>
    <w:uiPriority w:val="99"/>
    <w:semiHidden/>
    <w:qFormat/>
    <w:rPr>
      <w:rFonts w:ascii="Tahoma" w:hAnsi="Tahoma" w:cs="Tahoma"/>
      <w:sz w:val="16"/>
      <w:szCs w:val="16"/>
    </w:rPr>
  </w:style>
  <w:style w:type="character" w:styleId="719" w:customStyle="1">
    <w:name w:val="Абзац списка Знак"/>
    <w:uiPriority w:val="34"/>
    <w:qFormat/>
  </w:style>
  <w:style w:type="paragraph" w:styleId="720">
    <w:name w:val="Heading"/>
    <w:basedOn w:val="680"/>
    <w:next w:val="721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721">
    <w:name w:val="Body Text"/>
    <w:basedOn w:val="680"/>
    <w:pPr>
      <w:spacing w:before="0" w:after="140" w:line="276" w:lineRule="auto"/>
    </w:pPr>
  </w:style>
  <w:style w:type="paragraph" w:styleId="722">
    <w:name w:val="List"/>
    <w:basedOn w:val="721"/>
    <w:rPr>
      <w:rFonts w:cs="Mangal"/>
    </w:rPr>
  </w:style>
  <w:style w:type="paragraph" w:styleId="723">
    <w:name w:val="Caption"/>
    <w:basedOn w:val="6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24">
    <w:name w:val="Index"/>
    <w:basedOn w:val="680"/>
    <w:qFormat/>
    <w:pPr>
      <w:suppressLineNumbers/>
    </w:pPr>
    <w:rPr>
      <w:rFonts w:cs="Mangal"/>
    </w:rPr>
  </w:style>
  <w:style w:type="paragraph" w:styleId="725">
    <w:name w:val="Title"/>
    <w:basedOn w:val="68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26">
    <w:name w:val="Subtitle"/>
    <w:basedOn w:val="680"/>
    <w:uiPriority w:val="11"/>
    <w:qFormat/>
    <w:pPr>
      <w:spacing w:before="200" w:after="200"/>
    </w:pPr>
    <w:rPr>
      <w:sz w:val="24"/>
      <w:szCs w:val="24"/>
    </w:rPr>
  </w:style>
  <w:style w:type="paragraph" w:styleId="727">
    <w:name w:val="Quote"/>
    <w:basedOn w:val="680"/>
    <w:uiPriority w:val="29"/>
    <w:qFormat/>
    <w:pPr>
      <w:ind w:left="720" w:right="720"/>
    </w:pPr>
    <w:rPr>
      <w:i/>
    </w:rPr>
  </w:style>
  <w:style w:type="paragraph" w:styleId="728">
    <w:name w:val="Intense Quote"/>
    <w:basedOn w:val="680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29">
    <w:name w:val="footnote text"/>
    <w:basedOn w:val="680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30">
    <w:name w:val="endnote text"/>
    <w:basedOn w:val="68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31">
    <w:name w:val="toc 1"/>
    <w:basedOn w:val="680"/>
    <w:uiPriority w:val="39"/>
    <w:unhideWhenUsed/>
    <w:pPr>
      <w:ind w:left="0" w:right="0" w:firstLine="0"/>
      <w:spacing w:before="0" w:after="57"/>
    </w:pPr>
  </w:style>
  <w:style w:type="paragraph" w:styleId="732">
    <w:name w:val="toc 2"/>
    <w:basedOn w:val="680"/>
    <w:uiPriority w:val="39"/>
    <w:unhideWhenUsed/>
    <w:pPr>
      <w:ind w:left="283" w:right="0" w:firstLine="0"/>
      <w:spacing w:before="0" w:after="57"/>
    </w:pPr>
  </w:style>
  <w:style w:type="paragraph" w:styleId="733">
    <w:name w:val="toc 3"/>
    <w:basedOn w:val="680"/>
    <w:uiPriority w:val="39"/>
    <w:unhideWhenUsed/>
    <w:pPr>
      <w:ind w:left="567" w:right="0" w:firstLine="0"/>
      <w:spacing w:before="0" w:after="57"/>
    </w:pPr>
  </w:style>
  <w:style w:type="paragraph" w:styleId="734">
    <w:name w:val="toc 4"/>
    <w:basedOn w:val="680"/>
    <w:uiPriority w:val="39"/>
    <w:unhideWhenUsed/>
    <w:pPr>
      <w:ind w:left="850" w:right="0" w:firstLine="0"/>
      <w:spacing w:before="0" w:after="57"/>
    </w:pPr>
  </w:style>
  <w:style w:type="paragraph" w:styleId="735">
    <w:name w:val="toc 5"/>
    <w:basedOn w:val="680"/>
    <w:uiPriority w:val="39"/>
    <w:unhideWhenUsed/>
    <w:pPr>
      <w:ind w:left="1134" w:right="0" w:firstLine="0"/>
      <w:spacing w:before="0" w:after="57"/>
    </w:pPr>
  </w:style>
  <w:style w:type="paragraph" w:styleId="736">
    <w:name w:val="toc 6"/>
    <w:basedOn w:val="680"/>
    <w:uiPriority w:val="39"/>
    <w:unhideWhenUsed/>
    <w:pPr>
      <w:ind w:left="1417" w:right="0" w:firstLine="0"/>
      <w:spacing w:before="0" w:after="57"/>
    </w:pPr>
  </w:style>
  <w:style w:type="paragraph" w:styleId="737">
    <w:name w:val="toc 7"/>
    <w:basedOn w:val="680"/>
    <w:uiPriority w:val="39"/>
    <w:unhideWhenUsed/>
    <w:pPr>
      <w:ind w:left="1701" w:right="0" w:firstLine="0"/>
      <w:spacing w:before="0" w:after="57"/>
    </w:pPr>
  </w:style>
  <w:style w:type="paragraph" w:styleId="738">
    <w:name w:val="toc 8"/>
    <w:basedOn w:val="680"/>
    <w:uiPriority w:val="39"/>
    <w:unhideWhenUsed/>
    <w:pPr>
      <w:ind w:left="1984" w:right="0" w:firstLine="0"/>
      <w:spacing w:before="0" w:after="57"/>
    </w:pPr>
  </w:style>
  <w:style w:type="paragraph" w:styleId="739">
    <w:name w:val="toc 9"/>
    <w:basedOn w:val="680"/>
    <w:uiPriority w:val="39"/>
    <w:unhideWhenUsed/>
    <w:pPr>
      <w:ind w:left="2268" w:right="0" w:firstLine="0"/>
      <w:spacing w:before="0" w:after="57"/>
    </w:pPr>
  </w:style>
  <w:style w:type="paragraph" w:styleId="740">
    <w:name w:val="Index Heading"/>
    <w:basedOn w:val="720"/>
  </w:style>
  <w:style w:type="paragraph" w:styleId="741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42">
    <w:name w:val="table of figures"/>
    <w:basedOn w:val="680"/>
    <w:uiPriority w:val="99"/>
    <w:unhideWhenUsed/>
    <w:pPr>
      <w:spacing w:before="0" w:after="0" w:afterAutospacing="0"/>
    </w:pPr>
  </w:style>
  <w:style w:type="paragraph" w:styleId="743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Arial" w:hAnsi="Arial" w:eastAsia="Times New Roman" w:cs="Arial" w:cstheme="minorBidi"/>
      <w:color w:val="auto"/>
      <w:sz w:val="24"/>
      <w:szCs w:val="24"/>
      <w:lang w:val="ru-RU" w:eastAsia="ru-RU" w:bidi="ar-SA"/>
    </w:rPr>
  </w:style>
  <w:style w:type="paragraph" w:styleId="744" w:customStyle="1">
    <w:name w:val="xl63"/>
    <w:basedOn w:val="680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45" w:customStyle="1">
    <w:name w:val="xl65"/>
    <w:basedOn w:val="680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46" w:customStyle="1">
    <w:name w:val="xl64"/>
    <w:basedOn w:val="680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47" w:customStyle="1">
    <w:name w:val="xl66"/>
    <w:basedOn w:val="680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48" w:customStyle="1">
    <w:name w:val="xl67"/>
    <w:basedOn w:val="680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9" w:customStyle="1">
    <w:name w:val="xl68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50" w:customStyle="1">
    <w:name w:val="xl69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51" w:customStyle="1">
    <w:name w:val="xl70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52" w:customStyle="1">
    <w:name w:val="xl71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53" w:customStyle="1">
    <w:name w:val="xl72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54" w:customStyle="1">
    <w:name w:val="xl73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55" w:customStyle="1">
    <w:name w:val="xl74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56" w:customStyle="1">
    <w:name w:val="xl75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7" w:customStyle="1">
    <w:name w:val="xl76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8" w:customStyle="1">
    <w:name w:val="xl77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759" w:customStyle="1">
    <w:name w:val="xl78"/>
    <w:basedOn w:val="680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760">
    <w:name w:val="List Paragraph"/>
    <w:basedOn w:val="680"/>
    <w:uiPriority w:val="34"/>
    <w:qFormat/>
    <w:pPr>
      <w:contextualSpacing/>
      <w:ind w:left="720"/>
      <w:spacing w:before="0" w:after="160"/>
    </w:pPr>
  </w:style>
  <w:style w:type="paragraph" w:styleId="761">
    <w:name w:val="Header and Footer"/>
    <w:basedOn w:val="680"/>
    <w:qFormat/>
  </w:style>
  <w:style w:type="paragraph" w:styleId="762">
    <w:name w:val="Header"/>
    <w:basedOn w:val="680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63">
    <w:name w:val="Footer"/>
    <w:basedOn w:val="680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64">
    <w:name w:val="Balloon Text"/>
    <w:basedOn w:val="680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numbering" w:styleId="765" w:default="1">
    <w:name w:val="No List"/>
    <w:uiPriority w:val="99"/>
    <w:semiHidden/>
    <w:unhideWhenUsed/>
    <w:qFormat/>
  </w:style>
  <w:style w:type="table" w:styleId="379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customXml" Target="../customXml/item1.xml" /><Relationship Id="rId14" Type="http://schemas.openxmlformats.org/officeDocument/2006/relationships/hyperlink" Target="http://www.mjkh.nso.ru/page/724." TargetMode="External"/><Relationship Id="rId15" Type="http://schemas.openxmlformats.org/officeDocument/2006/relationships/hyperlink" Target="consultantplus://offline/ref=1A5ACDC7DDF8F0887A5F947293FE2CE5F6F787A58646A3FC26F6FA80EC4498F2B4F4B29DE25C6665B142ABBE2349634291F5A8A8AAE2S3H" TargetMode="External"/><Relationship Id="rId16" Type="http://schemas.openxmlformats.org/officeDocument/2006/relationships/hyperlink" Target="consultantplus://offline/ref=A2283303C7D254AD7348380E740FF25A10E2ED22CEB7A37225481EC656EC239C45C4E1787FF2A849uEg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3E7FD-8070-4333-ADE0-82240C71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dc:description/>
  <dc:language>ru-RU</dc:language>
  <cp:revision>77</cp:revision>
  <dcterms:created xsi:type="dcterms:W3CDTF">2021-11-15T02:28:00Z</dcterms:created>
  <dcterms:modified xsi:type="dcterms:W3CDTF">2026-04-09T04:54:08Z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